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29F75">
      <w:pPr>
        <w:jc w:val="center"/>
        <w:rPr>
          <w:rFonts w:eastAsia="宋体" w:asciiTheme="majorAscii" w:hAnsiTheme="majorAscii" w:cstheme="majorBidi"/>
          <w:b/>
          <w:bCs/>
          <w:color w:val="auto"/>
          <w:kern w:val="0"/>
          <w:sz w:val="44"/>
          <w:szCs w:val="44"/>
          <w:lang w:val="en-US" w:eastAsia="en-US" w:bidi="ar-SA"/>
        </w:rPr>
      </w:pPr>
      <w:bookmarkStart w:id="2" w:name="_GoBack"/>
      <w:bookmarkEnd w:id="2"/>
      <w:r>
        <w:rPr>
          <w:rFonts w:eastAsia="宋体" w:asciiTheme="majorAscii" w:hAnsiTheme="majorAscii" w:cstheme="majorBidi"/>
          <w:b/>
          <w:bCs/>
          <w:color w:val="auto"/>
          <w:kern w:val="0"/>
          <w:sz w:val="44"/>
          <w:szCs w:val="44"/>
          <w:lang w:val="en-US" w:eastAsia="en-US" w:bidi="ar-SA"/>
        </w:rPr>
        <w:t>宜春学院高等学历继续教育</w:t>
      </w:r>
    </w:p>
    <w:p w14:paraId="2BDEB4BE">
      <w:pPr>
        <w:jc w:val="center"/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/>
          <w:bCs/>
          <w:color w:val="auto"/>
          <w:kern w:val="0"/>
          <w:sz w:val="44"/>
          <w:szCs w:val="44"/>
          <w:lang w:val="en-US" w:eastAsia="zh-CN" w:bidi="ar-SA"/>
        </w:rPr>
        <w:t>学位</w:t>
      </w:r>
      <w:r>
        <w:rPr>
          <w:rFonts w:eastAsia="宋体" w:asciiTheme="majorAscii" w:hAnsiTheme="majorAscii" w:cstheme="majorBidi"/>
          <w:b/>
          <w:bCs/>
          <w:color w:val="auto"/>
          <w:kern w:val="0"/>
          <w:sz w:val="44"/>
          <w:szCs w:val="44"/>
          <w:lang w:val="en-US" w:eastAsia="en-US" w:bidi="ar-SA"/>
        </w:rPr>
        <w:t>论文（设计）管</w:t>
      </w:r>
      <w:r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  <w:t>理系统</w:t>
      </w: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指导</w:t>
      </w:r>
      <w:r>
        <w:rPr>
          <w:rFonts w:eastAsia="宋体" w:asciiTheme="majorAscii" w:hAnsiTheme="majorAscii" w:cstheme="majorBidi"/>
          <w:b/>
          <w:bCs/>
          <w:color w:val="000000" w:themeColor="text1"/>
          <w:kern w:val="0"/>
          <w:sz w:val="44"/>
          <w:szCs w:val="44"/>
          <w:lang w:val="en-US" w:eastAsia="en-US" w:bidi="ar-SA"/>
          <w14:textFill>
            <w14:solidFill>
              <w14:schemeClr w14:val="tx1"/>
            </w14:solidFill>
          </w14:textFill>
        </w:rPr>
        <w:t>步骤</w:t>
      </w:r>
    </w:p>
    <w:p w14:paraId="6CB1E4CC">
      <w:pPr>
        <w:numPr>
          <w:ilvl w:val="0"/>
          <w:numId w:val="1"/>
        </w:numPr>
        <w:jc w:val="both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登录平台</w:t>
      </w:r>
    </w:p>
    <w:p w14:paraId="4AE25484">
      <w:pPr>
        <w:numPr>
          <w:ilvl w:val="0"/>
          <w:numId w:val="0"/>
        </w:numPr>
        <w:ind w:firstLine="476" w:firstLineChars="200"/>
        <w:jc w:val="both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电脑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登录青书学堂</w:t>
      </w:r>
      <w:r>
        <w:rPr>
          <w:rFonts w:ascii="宋体" w:hAnsi="宋体" w:eastAsia="宋体" w:cs="宋体"/>
          <w:spacing w:val="-1"/>
          <w:sz w:val="24"/>
          <w:szCs w:val="24"/>
        </w:rPr>
        <w:t>网址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begin"/>
      </w:r>
      <w:r>
        <w:rPr>
          <w:rFonts w:ascii="宋体" w:hAnsi="宋体" w:eastAsia="宋体" w:cs="宋体"/>
          <w:spacing w:val="-1"/>
          <w:sz w:val="24"/>
          <w:szCs w:val="24"/>
        </w:rPr>
        <w:instrText xml:space="preserve"> HYPERLINK "https://www.qingshuxuetang.com/" </w:instrText>
      </w:r>
      <w:r>
        <w:rPr>
          <w:rFonts w:ascii="宋体" w:hAnsi="宋体" w:eastAsia="宋体" w:cs="宋体"/>
          <w:spacing w:val="-1"/>
          <w:sz w:val="24"/>
          <w:szCs w:val="24"/>
        </w:rPr>
        <w:fldChar w:fldCharType="separate"/>
      </w:r>
      <w:r>
        <w:rPr>
          <w:rFonts w:ascii="宋体" w:hAnsi="宋体" w:eastAsia="宋体" w:cs="宋体"/>
          <w:spacing w:val="-1"/>
          <w:sz w:val="24"/>
          <w:szCs w:val="24"/>
        </w:rPr>
        <w:t>https://www.qingshuxuetang.com/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ycxy，</w:t>
      </w:r>
      <w:r>
        <w:rPr>
          <w:rFonts w:ascii="宋体" w:hAnsi="宋体" w:eastAsia="宋体" w:cs="宋体"/>
          <w:spacing w:val="-1"/>
          <w:sz w:val="24"/>
          <w:szCs w:val="24"/>
        </w:rPr>
        <w:t>用户首次登录点击“账号密码登录”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pacing w:val="-1"/>
          <w:sz w:val="24"/>
          <w:szCs w:val="24"/>
        </w:rPr>
        <w:t>输入自己的账号密码点击登录，系统会弹出手机号验证码输入框，绑定手机号之后可直接用手机验证码登录。如下图：</w:t>
      </w:r>
    </w:p>
    <w:p w14:paraId="401851D7">
      <w:pPr>
        <w:spacing w:line="257" w:lineRule="auto"/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bookmark5"/>
      <w:bookmarkEnd w:id="0"/>
      <w:bookmarkStart w:id="1" w:name="bookmark6"/>
      <w:bookmarkEnd w:id="1"/>
      <w:r>
        <w:drawing>
          <wp:inline distT="0" distB="0" distL="114300" distR="114300">
            <wp:extent cx="5396865" cy="26231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3247">
      <w:pPr>
        <w:numPr>
          <w:ilvl w:val="0"/>
          <w:numId w:val="0"/>
        </w:numPr>
        <w:ind w:firstLine="476" w:firstLineChars="200"/>
        <w:jc w:val="both"/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登录后右上角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出现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自己的姓名，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且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下方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出现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校徽，请点校徽进入平台。</w:t>
      </w:r>
    </w:p>
    <w:p w14:paraId="1D7A741C">
      <w:pPr>
        <w:jc w:val="center"/>
      </w:pPr>
      <w:r>
        <w:drawing>
          <wp:inline distT="0" distB="0" distL="114300" distR="114300">
            <wp:extent cx="2453640" cy="1898650"/>
            <wp:effectExtent l="0" t="0" r="1016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402B">
      <w:pPr>
        <w:numPr>
          <w:ilvl w:val="0"/>
          <w:numId w:val="1"/>
        </w:numPr>
        <w:jc w:val="both"/>
        <w:rPr>
          <w:rFonts w:hint="default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ajorAscii" w:hAnsiTheme="majorAscii" w:cstheme="majorBidi"/>
          <w:b/>
          <w:bCs/>
          <w:color w:val="000000" w:themeColor="text1"/>
          <w:kern w:val="0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指导论文</w:t>
      </w:r>
    </w:p>
    <w:p w14:paraId="791665E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论文管理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上传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筛选学生年级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层次、专业、审核状态等，点击“查看”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注意学生是未提交状态时，无法查看任何内容。）</w:t>
      </w:r>
    </w:p>
    <w:p w14:paraId="677ACC1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790575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18427" b="10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D2FC">
      <w:pPr>
        <w:jc w:val="both"/>
      </w:pPr>
      <w:r>
        <w:drawing>
          <wp:inline distT="0" distB="0" distL="114300" distR="114300">
            <wp:extent cx="5270500" cy="2600325"/>
            <wp:effectExtent l="0" t="0" r="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947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点击查看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展开学生论文提交的信息，右上角即可查看论文状态，蓝色的文件均可直接点击进行在线预览（为避免格式错误，请下载查看）</w:t>
      </w:r>
    </w:p>
    <w:p w14:paraId="7B0D5FE4">
      <w:pPr>
        <w:jc w:val="both"/>
      </w:pPr>
      <w:r>
        <w:drawing>
          <wp:inline distT="0" distB="0" distL="114300" distR="114300">
            <wp:extent cx="5267325" cy="3827145"/>
            <wp:effectExtent l="0" t="0" r="3175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489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滑动光标至最低端，撰写论文指导意见，也可上传附件，供学生下载附件查看修改意见。如果学生提交合格，则可点击指导通过，如果不合格则提交指导意见并退回修改。</w:t>
      </w:r>
    </w:p>
    <w:p w14:paraId="5789BA9D">
      <w:pPr>
        <w:jc w:val="both"/>
      </w:pPr>
      <w:r>
        <w:drawing>
          <wp:inline distT="0" distB="0" distL="114300" distR="114300">
            <wp:extent cx="5240655" cy="2144395"/>
            <wp:effectExtent l="0" t="0" r="4445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426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7539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如果学生在规定时间内再次上传，重复操作即可。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668AE5"/>
    <w:multiLevelType w:val="singleLevel"/>
    <w:tmpl w:val="09668A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B37F83"/>
    <w:rsid w:val="02C526DF"/>
    <w:rsid w:val="279B114E"/>
    <w:rsid w:val="2A781EB5"/>
    <w:rsid w:val="2CE41AD3"/>
    <w:rsid w:val="4708321B"/>
    <w:rsid w:val="4D5371A8"/>
    <w:rsid w:val="5721105B"/>
    <w:rsid w:val="5AC07302"/>
    <w:rsid w:val="61B37F83"/>
    <w:rsid w:val="631B7916"/>
    <w:rsid w:val="6E1C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403</Words>
  <Characters>438</Characters>
  <Lines>0</Lines>
  <Paragraphs>0</Paragraphs>
  <TotalTime>15</TotalTime>
  <ScaleCrop>false</ScaleCrop>
  <LinksUpToDate>false</LinksUpToDate>
  <CharactersWithSpaces>439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2026-04-08T08:30:00Z</dcterms:created>
  <dc:creator>小zhang</dc:creator>
  <cp:lastModifiedBy>钟文红</cp:lastModifiedBy>
  <dcterms:modified xsi:type="dcterms:W3CDTF">2026-05-07T06:47:16Z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D538CFAEC3B9429F9F410A2B797328D7_13</vt:lpwstr>
  </property>
  <property fmtid="{D5CDD505-2E9C-101B-9397-08002B2CF9AE}" pid="4" name="KSOTemplateDocerSaveRecord">
    <vt:lpwstr>eyJoZGlkIjoiNTBhYTNmY2ZiMjU4OWVmODgzYjEzM2NkMWQwNTRjY2EiLCJ1c2VySWQiOiIxNjY4MTkyNzkzIn0=</vt:lpwstr>
  </property>
</Properties>
</file>